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>
      <w:pPr>
        <w:jc w:val="center"/>
        <w:rPr>
          <w:rFonts w:ascii="宋体" w:hAnsi="宋体" w:cs="宋体"/>
          <w:b/>
          <w:kern w:val="0"/>
          <w:sz w:val="28"/>
          <w:szCs w:val="21"/>
        </w:rPr>
      </w:pPr>
      <w:r>
        <w:rPr>
          <w:rFonts w:hint="eastAsia"/>
          <w:b/>
          <w:sz w:val="28"/>
          <w:szCs w:val="28"/>
        </w:rPr>
        <w:t>青岛市科技企业孵化器主任和从业人员培训班（第四期）</w:t>
      </w:r>
      <w:r>
        <w:rPr>
          <w:rFonts w:hint="eastAsia" w:ascii="宋体" w:hAnsi="宋体" w:cs="宋体"/>
          <w:b/>
          <w:kern w:val="0"/>
          <w:sz w:val="28"/>
          <w:szCs w:val="21"/>
        </w:rPr>
        <w:t>报名回执</w:t>
      </w:r>
    </w:p>
    <w:tbl>
      <w:tblPr>
        <w:tblStyle w:val="6"/>
        <w:tblW w:w="14932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93"/>
        <w:gridCol w:w="567"/>
        <w:gridCol w:w="1984"/>
        <w:gridCol w:w="937"/>
        <w:gridCol w:w="55"/>
        <w:gridCol w:w="1843"/>
        <w:gridCol w:w="1843"/>
        <w:gridCol w:w="713"/>
        <w:gridCol w:w="1130"/>
        <w:gridCol w:w="708"/>
        <w:gridCol w:w="1134"/>
        <w:gridCol w:w="113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孵化器/众创空间名称</w:t>
            </w:r>
          </w:p>
        </w:tc>
        <w:tc>
          <w:tcPr>
            <w:tcW w:w="348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运营单位</w:t>
            </w:r>
          </w:p>
        </w:tc>
        <w:tc>
          <w:tcPr>
            <w:tcW w:w="255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孵化器类型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综合型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48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众创空间类型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创客型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培训辅导型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创咖型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创投型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产业链整合型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49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机构性质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事业单位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国有企业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集体企业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私营企业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民办非企业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其他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是否已加入协会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是  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会员类别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会长单位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副会长单位</w:t>
            </w:r>
          </w:p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秘书长单位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理事单位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49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孵化器/众创空间等级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国家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省级</w:t>
            </w:r>
          </w:p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地市级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其他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szCs w:val="21"/>
              </w:rPr>
              <w:t>网址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邮编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发票户头单位名称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财务地址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财务电话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szCs w:val="21"/>
              </w:rPr>
              <w:t>开户行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账号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税号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49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身份证号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Cs w:val="21"/>
              </w:rPr>
              <w:t>从事孵化行业时间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分管工作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手机号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电子邮箱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是否住宿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是否需要单间</w:t>
            </w:r>
            <w:r>
              <w:rPr>
                <w:rFonts w:hint="eastAsia" w:eastAsia="仿宋_GB2312"/>
                <w:szCs w:val="21"/>
              </w:rPr>
              <w:t>（单间需补交费用）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49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 xml:space="preserve">全面工作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招商</w:t>
            </w:r>
          </w:p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 xml:space="preserve">财务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统计</w:t>
            </w:r>
          </w:p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企业服务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其他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高层管理人员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中层人员</w:t>
            </w:r>
          </w:p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基层人员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49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 xml:space="preserve">全面工作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招商</w:t>
            </w:r>
          </w:p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 xml:space="preserve">财务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统计</w:t>
            </w:r>
          </w:p>
          <w:p>
            <w:pPr>
              <w:spacing w:line="240" w:lineRule="exact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企业服务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pacing w:val="-20"/>
                <w:szCs w:val="21"/>
              </w:rPr>
              <w:t>其他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高层管理人员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中层人员</w:t>
            </w:r>
          </w:p>
          <w:p>
            <w:pPr>
              <w:snapToGrid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基层人员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sym w:font="Wingdings" w:char="F06F"/>
            </w:r>
            <w:r>
              <w:rPr>
                <w:rFonts w:hint="eastAsia" w:eastAsia="仿宋_GB2312"/>
                <w:szCs w:val="21"/>
              </w:rPr>
              <w:t>否</w:t>
            </w:r>
          </w:p>
        </w:tc>
      </w:tr>
    </w:tbl>
    <w:p>
      <w:bookmarkStart w:id="0" w:name="_GoBack"/>
      <w:bookmarkEnd w:id="0"/>
      <w:r>
        <w:rPr>
          <w:rFonts w:eastAsia="仿宋_GB2312"/>
          <w:szCs w:val="21"/>
        </w:rPr>
        <w:t>注：</w:t>
      </w:r>
      <w:r>
        <w:rPr>
          <w:rFonts w:hint="eastAsia" w:eastAsia="仿宋_GB2312"/>
          <w:szCs w:val="21"/>
        </w:rPr>
        <w:t>回执</w:t>
      </w:r>
      <w:r>
        <w:rPr>
          <w:rFonts w:eastAsia="仿宋_GB2312"/>
          <w:szCs w:val="21"/>
        </w:rPr>
        <w:t>请于</w:t>
      </w:r>
      <w:r>
        <w:rPr>
          <w:rFonts w:hint="eastAsia" w:eastAsia="仿宋_GB2312"/>
          <w:szCs w:val="21"/>
        </w:rPr>
        <w:t>10</w:t>
      </w:r>
      <w:r>
        <w:rPr>
          <w:rFonts w:eastAsia="仿宋_GB2312"/>
          <w:szCs w:val="21"/>
        </w:rPr>
        <w:t>月</w:t>
      </w:r>
      <w:r>
        <w:rPr>
          <w:rFonts w:hint="eastAsia" w:eastAsia="仿宋_GB2312"/>
          <w:szCs w:val="21"/>
        </w:rPr>
        <w:t>12</w:t>
      </w:r>
      <w:r>
        <w:rPr>
          <w:rFonts w:eastAsia="仿宋_GB2312"/>
          <w:szCs w:val="21"/>
        </w:rPr>
        <w:t>日</w:t>
      </w:r>
      <w:r>
        <w:rPr>
          <w:rFonts w:hint="eastAsia" w:eastAsia="仿宋_GB2312"/>
          <w:szCs w:val="21"/>
        </w:rPr>
        <w:t>17：00</w:t>
      </w:r>
      <w:r>
        <w:rPr>
          <w:rFonts w:eastAsia="仿宋_GB2312"/>
          <w:szCs w:val="21"/>
        </w:rPr>
        <w:t>前回传至：</w:t>
      </w:r>
      <w:r>
        <w:fldChar w:fldCharType="begin"/>
      </w:r>
      <w:r>
        <w:instrText xml:space="preserve"> HYPERLINK "mailto:qdsbia@163.com" </w:instrText>
      </w:r>
      <w:r>
        <w:fldChar w:fldCharType="separate"/>
      </w:r>
      <w:r>
        <w:rPr>
          <w:rStyle w:val="5"/>
          <w:rFonts w:eastAsia="仿宋_GB2312" w:cs="Times New Roman"/>
          <w:szCs w:val="21"/>
          <w:u w:val="none"/>
          <w:lang w:eastAsia="zh-CN"/>
        </w:rPr>
        <w:t>qdsbia_px</w:t>
      </w:r>
      <w:r>
        <w:rPr>
          <w:rStyle w:val="5"/>
          <w:rFonts w:eastAsia="仿宋_GB2312"/>
          <w:szCs w:val="21"/>
          <w:u w:val="none"/>
          <w:lang w:eastAsia="zh-CN"/>
        </w:rPr>
        <w:t>@163.co</w:t>
      </w:r>
      <w:r>
        <w:rPr>
          <w:rStyle w:val="5"/>
          <w:rFonts w:hint="eastAsia" w:eastAsia="仿宋_GB2312"/>
          <w:szCs w:val="21"/>
          <w:u w:val="none"/>
          <w:lang w:eastAsia="zh-CN"/>
        </w:rPr>
        <w:t>m</w:t>
      </w:r>
      <w:r>
        <w:rPr>
          <w:rStyle w:val="5"/>
          <w:rFonts w:hint="eastAsia" w:eastAsia="仿宋_GB2312"/>
          <w:szCs w:val="21"/>
          <w:u w:val="none"/>
          <w:lang w:eastAsia="zh-CN"/>
        </w:rPr>
        <w:fldChar w:fldCharType="end"/>
      </w:r>
    </w:p>
    <w:sectPr>
      <w:pgSz w:w="16838" w:h="11906" w:orient="landscape"/>
      <w:pgMar w:top="1800" w:right="1440" w:bottom="8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07E"/>
    <w:rsid w:val="00012CBA"/>
    <w:rsid w:val="0022303A"/>
    <w:rsid w:val="00286307"/>
    <w:rsid w:val="004173AD"/>
    <w:rsid w:val="0046478C"/>
    <w:rsid w:val="004977EF"/>
    <w:rsid w:val="004B4814"/>
    <w:rsid w:val="004E1447"/>
    <w:rsid w:val="00503039"/>
    <w:rsid w:val="0057641D"/>
    <w:rsid w:val="005A148F"/>
    <w:rsid w:val="005C573F"/>
    <w:rsid w:val="006553CA"/>
    <w:rsid w:val="006B58FE"/>
    <w:rsid w:val="008621E7"/>
    <w:rsid w:val="00881D17"/>
    <w:rsid w:val="00A4660B"/>
    <w:rsid w:val="00BB1AA6"/>
    <w:rsid w:val="00BD64EA"/>
    <w:rsid w:val="00BD707E"/>
    <w:rsid w:val="00C81AF6"/>
    <w:rsid w:val="00CC5BD9"/>
    <w:rsid w:val="00E72BCB"/>
    <w:rsid w:val="00E76855"/>
    <w:rsid w:val="287C5CD3"/>
    <w:rsid w:val="5C1C6FFF"/>
    <w:rsid w:val="64F04343"/>
    <w:rsid w:val="6835068E"/>
    <w:rsid w:val="79450501"/>
    <w:rsid w:val="7B8A4F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2016-09-30T03:27:00Z</dcterms:created>
  <dc:creator>Administrator</dc:creator>
  <cp:lastModifiedBy>Administrator</cp:lastModifiedBy>
  <dcterms:modified xsi:type="dcterms:W3CDTF">2016-10-08T07:26:04Z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